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r>
    </w:p>
    <w:p w:rsidR="00000000" w:rsidDel="00000000" w:rsidP="00000000" w:rsidRDefault="00000000" w:rsidRPr="00000000" w14:paraId="00000002">
      <w:pPr>
        <w:ind w:left="0" w:firstLine="0"/>
        <w:jc w:val="center"/>
        <w:rPr>
          <w:rFonts w:ascii="Verdana" w:cs="Verdana" w:eastAsia="Verdana" w:hAnsi="Verdana"/>
          <w:sz w:val="30"/>
          <w:szCs w:val="30"/>
          <w:u w:val="single"/>
        </w:rPr>
      </w:pPr>
      <w:r w:rsidDel="00000000" w:rsidR="00000000" w:rsidRPr="00000000">
        <w:rPr>
          <w:rFonts w:ascii="Verdana" w:cs="Verdana" w:eastAsia="Verdana" w:hAnsi="Verdana"/>
          <w:sz w:val="30"/>
          <w:szCs w:val="30"/>
          <w:u w:val="single"/>
          <w:rtl w:val="0"/>
        </w:rPr>
        <w:t xml:space="preserve">OUT OF PROVINCE TRAVEL REQUEST FORM</w:t>
      </w:r>
    </w:p>
    <w:p w:rsidR="00000000" w:rsidDel="00000000" w:rsidP="00000000" w:rsidRDefault="00000000" w:rsidRPr="00000000" w14:paraId="00000003">
      <w:pPr>
        <w:ind w:left="0" w:firstLine="0"/>
        <w:jc w:val="center"/>
        <w:rPr/>
      </w:pPr>
      <w:r w:rsidDel="00000000" w:rsidR="00000000" w:rsidRPr="00000000">
        <w:rPr>
          <w:rtl w:val="0"/>
        </w:rPr>
      </w:r>
    </w:p>
    <w:p w:rsidR="00000000" w:rsidDel="00000000" w:rsidP="00000000" w:rsidRDefault="00000000" w:rsidRPr="00000000" w14:paraId="00000004">
      <w:pPr>
        <w:ind w:left="0" w:firstLine="0"/>
        <w:jc w:val="center"/>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All Elite, Rep and Select teams must complete this form to obtain approval to travel out of province. This form is mandatory in order to receive Newmarket Baseball Association approval. Approval will be given if all information is provided and insurance certification is included. </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As per Newmarket Baseball Association By-Laws all teams are required to purchase additional travel insurance for all out of province tournaments. Baseball Ontario insurance does not cover players or coaches while out of province. Additional travel insurance can be purchased at Arthur J. Gallagher Insurance (formerly Pearson &amp; Dunn Insurance) which is the insurance company Baseball Ontario uses. Insurance can also be purchased at any other insurance company. Coaches are required to advise parents to purchase their own individual travel  insurance for family members that are not included in the team travel insurance.</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r>
    </w:p>
    <w:tbl>
      <w:tblPr>
        <w:tblStyle w:val="Table1"/>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365"/>
        <w:tblGridChange w:id="0">
          <w:tblGrid>
            <w:gridCol w:w="3315"/>
            <w:gridCol w:w="7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rtl w:val="0"/>
              </w:rPr>
              <w:t xml:space="preserve">Division: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rtl w:val="0"/>
              </w:rPr>
              <w:t xml:space="preserve">Head Coach: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rtl w:val="0"/>
              </w:rPr>
              <w:t xml:space="preserve">OBA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center"/>
              <w:rPr/>
            </w:pPr>
            <w:r w:rsidDel="00000000" w:rsidR="00000000" w:rsidRPr="00000000">
              <w:rPr>
                <w:rtl w:val="0"/>
              </w:rPr>
              <w:t xml:space="preserve">Tournament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jc w:val="center"/>
              <w:rPr/>
            </w:pPr>
            <w:r w:rsidDel="00000000" w:rsidR="00000000" w:rsidRPr="00000000">
              <w:rPr>
                <w:rtl w:val="0"/>
              </w:rPr>
              <w:t xml:space="preserve">Tournament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center"/>
              <w:rPr/>
            </w:pPr>
            <w:r w:rsidDel="00000000" w:rsidR="00000000" w:rsidRPr="00000000">
              <w:rPr>
                <w:rtl w:val="0"/>
              </w:rPr>
              <w:t xml:space="preserve">Travel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center"/>
              <w:rPr/>
            </w:pPr>
            <w:r w:rsidDel="00000000" w:rsidR="00000000" w:rsidRPr="00000000">
              <w:rPr>
                <w:rtl w:val="0"/>
              </w:rPr>
              <w:t xml:space="preserve">Insurance Certificate Included?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8">
      <w:pPr>
        <w:ind w:left="0" w:firstLine="0"/>
        <w:rPr/>
      </w:pPr>
      <w:r w:rsidDel="00000000" w:rsidR="00000000" w:rsidRPr="00000000">
        <w:rPr>
          <w:rtl w:val="0"/>
        </w:rPr>
        <w:tab/>
        <w:tab/>
      </w:r>
    </w:p>
    <w:tbl>
      <w:tblPr>
        <w:tblStyle w:val="Table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55"/>
        <w:gridCol w:w="5355"/>
        <w:tblGridChange w:id="0">
          <w:tblGrid>
            <w:gridCol w:w="5355"/>
            <w:gridCol w:w="53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Submitted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 Submitted:</w:t>
            </w:r>
          </w:p>
        </w:tc>
      </w:tr>
    </w:tbl>
    <w:p w:rsidR="00000000" w:rsidDel="00000000" w:rsidP="00000000" w:rsidRDefault="00000000" w:rsidRPr="00000000" w14:paraId="0000001B">
      <w:pPr>
        <w:ind w:left="0" w:firstLine="0"/>
        <w:rPr/>
      </w:pPr>
      <w:r w:rsidDel="00000000" w:rsidR="00000000" w:rsidRPr="00000000">
        <w:rPr>
          <w:rtl w:val="0"/>
        </w:rPr>
        <w:tab/>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sz w:val="18"/>
          <w:szCs w:val="18"/>
          <w:rtl w:val="0"/>
        </w:rPr>
        <w:t xml:space="preserve">For office use only</w:t>
      </w:r>
      <w:r w:rsidDel="00000000" w:rsidR="00000000" w:rsidRPr="00000000">
        <w:rPr>
          <w:rtl w:val="0"/>
        </w:rPr>
      </w:r>
    </w:p>
    <w:tbl>
      <w:tblPr>
        <w:tblStyle w:val="Table3"/>
        <w:tblW w:w="6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3960"/>
        <w:tblGridChange w:id="0">
          <w:tblGrid>
            <w:gridCol w:w="2220"/>
            <w:gridCol w:w="3960"/>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President Approval </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Date Approved</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Signature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sectPr>
      <w:headerReference r:id="rId6" w:type="default"/>
      <w:footerReference r:id="rId7" w:type="default"/>
      <w:pgSz w:h="15840" w:w="12240" w:orient="portrait"/>
      <w:pgMar w:bottom="1440" w:top="1440" w:left="81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t xml:space="preserve">www.newmarketbaseball.com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tab/>
      <w:tab/>
      <w:tab/>
      <w:tab/>
      <w:tab/>
      <w:tab/>
      <w:tab/>
      <w:tab/>
      <w:tab/>
      <w:tab/>
      <w:t xml:space="preserve">Newmarket Baseball Association</w:t>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-342899</wp:posOffset>
          </wp:positionV>
          <wp:extent cx="1392883" cy="8143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2883" cy="814388"/>
                  </a:xfrm>
                  <a:prstGeom prst="rect"/>
                  <a:ln/>
                </pic:spPr>
              </pic:pic>
            </a:graphicData>
          </a:graphic>
        </wp:anchor>
      </w:drawing>
    </w:r>
  </w:p>
  <w:p w:rsidR="00000000" w:rsidDel="00000000" w:rsidP="00000000" w:rsidRDefault="00000000" w:rsidRPr="00000000" w14:paraId="00000027">
    <w:pPr>
      <w:ind w:left="6480" w:firstLine="720"/>
      <w:rPr/>
    </w:pPr>
    <w:r w:rsidDel="00000000" w:rsidR="00000000" w:rsidRPr="00000000">
      <w:rPr>
        <w:rtl w:val="0"/>
      </w:rPr>
      <w:t xml:space="preserve">admin@newmarketbaseball.com</w:t>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